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关于举办</w:t>
      </w:r>
    </w:p>
    <w:p>
      <w:pPr>
        <w:spacing w:line="56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中国国际大学生创新创业大赛（2026）北京赛区工作推进会暨第十一期北京高校创新创业师资专项培训班的通知</w:t>
      </w:r>
    </w:p>
    <w:p>
      <w:pPr>
        <w:spacing w:line="560" w:lineRule="exact"/>
        <w:rPr>
          <w:rFonts w:hint="eastAsia" w:ascii="仿宋_GB2312" w:eastAsia="仿宋_GB2312"/>
          <w:sz w:val="32"/>
          <w:szCs w:val="32"/>
        </w:rPr>
      </w:pPr>
    </w:p>
    <w:p>
      <w:pPr>
        <w:spacing w:line="560" w:lineRule="exact"/>
        <w:rPr>
          <w:rFonts w:hint="eastAsia" w:ascii="仿宋_GB2312" w:eastAsia="仿宋_GB2312"/>
          <w:sz w:val="32"/>
          <w:szCs w:val="32"/>
        </w:rPr>
      </w:pPr>
      <w:r>
        <w:rPr>
          <w:rFonts w:hint="eastAsia" w:ascii="仿宋_GB2312" w:eastAsia="仿宋_GB2312"/>
          <w:sz w:val="32"/>
          <w:szCs w:val="32"/>
        </w:rPr>
        <w:t>各普通高等学校、研究生培养单位、职业院校：</w:t>
      </w:r>
    </w:p>
    <w:p>
      <w:pPr>
        <w:spacing w:line="560" w:lineRule="exact"/>
        <w:rPr>
          <w:rFonts w:hint="eastAsia" w:ascii="仿宋_GB2312" w:eastAsia="仿宋_GB2312"/>
          <w:sz w:val="32"/>
          <w:szCs w:val="32"/>
        </w:rPr>
      </w:pPr>
      <w:r>
        <w:rPr>
          <w:rFonts w:hint="eastAsia" w:ascii="仿宋_GB2312" w:eastAsia="仿宋_GB2312"/>
          <w:sz w:val="32"/>
          <w:szCs w:val="32"/>
        </w:rPr>
        <w:t xml:space="preserve">  </w:t>
      </w:r>
      <w:r>
        <w:rPr>
          <w:rFonts w:ascii="仿宋_GB2312" w:eastAsia="仿宋_GB2312"/>
          <w:sz w:val="32"/>
          <w:szCs w:val="32"/>
        </w:rPr>
        <w:t xml:space="preserve">  </w:t>
      </w:r>
      <w:r>
        <w:rPr>
          <w:rFonts w:hint="eastAsia" w:ascii="仿宋_GB2312" w:eastAsia="仿宋_GB2312"/>
          <w:sz w:val="32"/>
          <w:szCs w:val="32"/>
        </w:rPr>
        <w:t>为进一步做好中国国际大学生创新大赛</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w:t>
      </w:r>
      <w:r>
        <w:rPr>
          <w:rFonts w:ascii="仿宋_GB2312" w:eastAsia="仿宋_GB2312"/>
          <w:sz w:val="32"/>
          <w:szCs w:val="32"/>
        </w:rPr>
        <w:t>北京赛区</w:t>
      </w:r>
      <w:r>
        <w:rPr>
          <w:rFonts w:hint="eastAsia" w:ascii="仿宋_GB2312" w:eastAsia="仿宋_GB2312"/>
          <w:sz w:val="32"/>
          <w:szCs w:val="32"/>
        </w:rPr>
        <w:t>各项赛事组织工作，现决定召开北京赛区工作推进会，并举办大赛同期活动——第十一期北京高校创新创业师资专项培训班。现将有关事项通知如下。</w:t>
      </w:r>
    </w:p>
    <w:p>
      <w:pPr>
        <w:spacing w:line="560" w:lineRule="exact"/>
        <w:rPr>
          <w:rFonts w:hint="eastAsia" w:ascii="黑体" w:hAnsi="黑体" w:eastAsia="黑体"/>
          <w:sz w:val="32"/>
          <w:szCs w:val="32"/>
        </w:rPr>
      </w:pPr>
      <w:r>
        <w:rPr>
          <w:rFonts w:hint="eastAsia" w:ascii="仿宋_GB2312" w:eastAsia="仿宋_GB2312"/>
          <w:sz w:val="32"/>
          <w:szCs w:val="32"/>
        </w:rPr>
        <w:t>　　</w:t>
      </w:r>
      <w:r>
        <w:rPr>
          <w:rFonts w:hint="eastAsia" w:ascii="黑体" w:hAnsi="黑体" w:eastAsia="黑体"/>
          <w:sz w:val="32"/>
          <w:szCs w:val="32"/>
        </w:rPr>
        <w:t>一、时间安</w:t>
      </w:r>
      <w:bookmarkStart w:id="2" w:name="_GoBack"/>
      <w:bookmarkEnd w:id="2"/>
      <w:r>
        <w:rPr>
          <w:rFonts w:hint="eastAsia" w:ascii="黑体" w:hAnsi="黑体" w:eastAsia="黑体"/>
          <w:sz w:val="32"/>
          <w:szCs w:val="32"/>
        </w:rPr>
        <w:t>排</w:t>
      </w:r>
    </w:p>
    <w:p>
      <w:pPr>
        <w:spacing w:line="560" w:lineRule="exact"/>
        <w:rPr>
          <w:rFonts w:hint="eastAsia" w:ascii="仿宋_GB2312" w:hAnsi="仿宋_GB2312" w:eastAsia="仿宋_GB2312" w:cs="仿宋_GB2312"/>
          <w:sz w:val="32"/>
          <w:szCs w:val="32"/>
        </w:rPr>
      </w:pPr>
      <w:r>
        <w:rPr>
          <w:rFonts w:hint="eastAsia" w:ascii="仿宋_GB2312" w:eastAsia="仿宋_GB2312"/>
          <w:sz w:val="32"/>
          <w:szCs w:val="32"/>
        </w:rPr>
        <w:t>　　</w:t>
      </w:r>
      <w:r>
        <w:rPr>
          <w:rFonts w:hint="eastAsia" w:ascii="仿宋_GB2312" w:hAnsi="仿宋_GB2312" w:eastAsia="仿宋_GB2312" w:cs="仿宋_GB2312"/>
          <w:sz w:val="32"/>
          <w:szCs w:val="32"/>
        </w:rPr>
        <w:t xml:space="preserve">日期：2026年9月3日 </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工作推进会时间：9:00-10:00</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师资培训时间：10:00-12:00；13:30-16:30</w:t>
      </w:r>
    </w:p>
    <w:p>
      <w:pPr>
        <w:spacing w:line="560" w:lineRule="exact"/>
        <w:rPr>
          <w:rFonts w:hint="eastAsia" w:ascii="仿宋_GB2312" w:eastAsia="仿宋_GB2312"/>
          <w:sz w:val="32"/>
          <w:szCs w:val="32"/>
        </w:rPr>
      </w:pPr>
      <w:r>
        <w:rPr>
          <w:rFonts w:hint="eastAsia" w:ascii="仿宋_GB2312" w:eastAsia="仿宋_GB2312"/>
          <w:sz w:val="32"/>
          <w:szCs w:val="32"/>
        </w:rPr>
        <w:t>　　</w:t>
      </w:r>
      <w:r>
        <w:rPr>
          <w:rFonts w:hint="eastAsia" w:ascii="黑体" w:hAnsi="黑体" w:eastAsia="黑体"/>
          <w:sz w:val="32"/>
          <w:szCs w:val="32"/>
        </w:rPr>
        <w:t>二、参会（训）人员</w:t>
      </w:r>
    </w:p>
    <w:p>
      <w:pPr>
        <w:spacing w:line="560" w:lineRule="exact"/>
        <w:rPr>
          <w:rFonts w:hint="eastAsia" w:ascii="仿宋_GB2312" w:eastAsia="仿宋_GB2312"/>
          <w:sz w:val="32"/>
          <w:szCs w:val="32"/>
        </w:rPr>
      </w:pPr>
      <w:r>
        <w:rPr>
          <w:rFonts w:hint="eastAsia" w:ascii="仿宋_GB2312" w:eastAsia="仿宋_GB2312"/>
          <w:sz w:val="32"/>
          <w:szCs w:val="32"/>
        </w:rPr>
        <w:t>　　各参赛院校大赛牵头部门负责人（双创学院院长、教务处处长等）、具体工作对接人、项目指导教师等。</w:t>
      </w:r>
    </w:p>
    <w:p>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三、会议（培训）内容</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1.大赛（2026）北京赛区赛程安排介绍</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w:t>
      </w:r>
      <w:r>
        <w:rPr>
          <w:rFonts w:ascii="仿宋_GB2312" w:eastAsia="仿宋_GB2312"/>
          <w:sz w:val="32"/>
          <w:szCs w:val="32"/>
        </w:rPr>
        <w:t>大赛（202</w:t>
      </w:r>
      <w:r>
        <w:rPr>
          <w:rFonts w:hint="eastAsia" w:ascii="仿宋_GB2312" w:eastAsia="仿宋_GB2312"/>
          <w:sz w:val="32"/>
          <w:szCs w:val="32"/>
        </w:rPr>
        <w:t>5</w:t>
      </w:r>
      <w:r>
        <w:rPr>
          <w:rFonts w:ascii="仿宋_GB2312" w:eastAsia="仿宋_GB2312"/>
          <w:sz w:val="32"/>
          <w:szCs w:val="32"/>
        </w:rPr>
        <w:t>）</w:t>
      </w:r>
      <w:r>
        <w:rPr>
          <w:rFonts w:hint="eastAsia" w:ascii="仿宋_GB2312" w:eastAsia="仿宋_GB2312"/>
          <w:sz w:val="32"/>
          <w:szCs w:val="32"/>
        </w:rPr>
        <w:t>参赛经验分享</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w:t>
      </w:r>
      <w:r>
        <w:rPr>
          <w:rFonts w:ascii="仿宋_GB2312" w:eastAsia="仿宋_GB2312"/>
          <w:sz w:val="32"/>
          <w:szCs w:val="32"/>
        </w:rPr>
        <w:t>.</w:t>
      </w:r>
      <w:r>
        <w:rPr>
          <w:rFonts w:hint="eastAsia" w:ascii="仿宋_GB2312" w:eastAsia="仿宋_GB2312"/>
          <w:sz w:val="32"/>
          <w:szCs w:val="32"/>
        </w:rPr>
        <w:t>师资培训课程</w:t>
      </w:r>
    </w:p>
    <w:p>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四、参会（训）注意事项</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本次工作推进会和师资培训安排在同一天先后进行，师资培训不再单独组织报到，请参训人员在工作推进会前报到，并全程参加工作推进会。</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1.参会（训）报名</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请各院校校赛牵头部门工作对接人于8月31日前扫描二维码完成本校参会（训）人员</w:t>
      </w:r>
      <w:bookmarkStart w:id="0" w:name="OLE_LINK1"/>
      <w:bookmarkStart w:id="1" w:name="OLE_LINK2"/>
      <w:r>
        <w:rPr>
          <w:rFonts w:hint="eastAsia" w:ascii="仿宋_GB2312" w:eastAsia="仿宋_GB2312"/>
          <w:sz w:val="32"/>
          <w:szCs w:val="32"/>
        </w:rPr>
        <w:t>填报，并按要求上传可编辑电子版和盖章扫描版《北京赛区工作推进会暨第十一期北京高校创新创业师资专项培训班报名回执表》（见附件），每校最多报名4人。</w:t>
      </w:r>
      <w:bookmarkEnd w:id="0"/>
      <w:bookmarkEnd w:id="1"/>
    </w:p>
    <w:p>
      <w:pPr>
        <w:spacing w:line="240" w:lineRule="atLeast"/>
        <w:ind w:firstLine="640" w:firstLineChars="200"/>
        <w:rPr>
          <w:rFonts w:hint="eastAsia" w:ascii="仿宋_GB2312" w:eastAsia="仿宋_GB2312"/>
          <w:sz w:val="32"/>
          <w:szCs w:val="32"/>
        </w:rPr>
      </w:pPr>
      <w:r>
        <w:rPr>
          <w:rFonts w:hint="eastAsia" w:ascii="仿宋_GB2312" w:eastAsia="仿宋_GB2312"/>
          <w:sz w:val="32"/>
          <w:szCs w:val="32"/>
        </w:rPr>
        <w:t>报名二维码如下</w:t>
      </w:r>
      <w:r>
        <w:rPr>
          <w:rFonts w:ascii="仿宋_GB2312" w:eastAsia="仿宋_GB2312"/>
          <w:sz w:val="32"/>
          <w:szCs w:val="32"/>
        </w:rPr>
        <w:t>：</w:t>
      </w:r>
    </w:p>
    <w:p>
      <w:pPr>
        <w:pStyle w:val="4"/>
        <w:widowControl/>
        <w:jc w:val="center"/>
        <w:rPr>
          <w:rFonts w:hint="eastAsia"/>
        </w:rPr>
      </w:pPr>
      <w:r>
        <w:drawing>
          <wp:inline distT="0" distB="0" distL="114300" distR="114300">
            <wp:extent cx="1428750" cy="142875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1428750" cy="1428750"/>
                    </a:xfrm>
                    <a:prstGeom prst="rect">
                      <a:avLst/>
                    </a:prstGeom>
                    <a:noFill/>
                    <a:ln w="9525">
                      <a:noFill/>
                    </a:ln>
                  </pic:spPr>
                </pic:pic>
              </a:graphicData>
            </a:graphic>
          </wp:inline>
        </w:drawing>
      </w:r>
    </w:p>
    <w:p>
      <w:pPr>
        <w:spacing w:line="240" w:lineRule="atLeast"/>
        <w:ind w:firstLine="640" w:firstLineChars="200"/>
        <w:rPr>
          <w:rFonts w:hint="eastAsia" w:ascii="仿宋_GB2312" w:eastAsia="仿宋_GB2312"/>
          <w:sz w:val="32"/>
          <w:szCs w:val="32"/>
        </w:rPr>
      </w:pPr>
      <w:r>
        <w:rPr>
          <w:rFonts w:hint="eastAsia" w:ascii="仿宋_GB2312" w:eastAsia="仿宋_GB2312"/>
          <w:sz w:val="32"/>
          <w:szCs w:val="32"/>
        </w:rPr>
        <w:t xml:space="preserve">报名链接：https://www.wjx.top/vm/Q608U6u.aspx# </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2.培训费用</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培训免费，餐食、交通以及停车费用自理。因培训地点车位紧张，不建议自驾到会，鼓励绿色出行。</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3.结业证书</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培训结束后，颁发“第十一期北京高校创新创业师资专项培训班结业证书”（指导单位：北京市教育委员会；主办单位：北京高校创新创业人才培养指导中心）。</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4.会议（培训）报到</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eastAsia="仿宋_GB2312"/>
          <w:sz w:val="32"/>
          <w:szCs w:val="32"/>
        </w:rPr>
        <w:t>时间</w:t>
      </w:r>
      <w:r>
        <w:rPr>
          <w:rFonts w:ascii="仿宋_GB2312" w:eastAsia="仿宋_GB2312"/>
          <w:sz w:val="32"/>
          <w:szCs w:val="32"/>
        </w:rPr>
        <w:t>：</w:t>
      </w:r>
      <w:r>
        <w:rPr>
          <w:rFonts w:hint="eastAsia" w:ascii="仿宋_GB2312" w:hAnsi="仿宋_GB2312" w:eastAsia="仿宋_GB2312" w:cs="仿宋_GB2312"/>
          <w:sz w:val="32"/>
          <w:szCs w:val="32"/>
        </w:rPr>
        <w:t>9月3日上午8:30-8:50</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地点：北京市海淀区西土城路10号北京邮电大学教三楼一层</w:t>
      </w:r>
      <w:r>
        <w:rPr>
          <w:rFonts w:ascii="仿宋_GB2312" w:eastAsia="仿宋_GB2312"/>
          <w:sz w:val="32"/>
          <w:szCs w:val="32"/>
        </w:rPr>
        <w:t>东侧</w:t>
      </w:r>
      <w:r>
        <w:rPr>
          <w:rFonts w:hint="eastAsia" w:ascii="仿宋_GB2312" w:eastAsia="仿宋_GB2312"/>
          <w:sz w:val="32"/>
          <w:szCs w:val="32"/>
        </w:rPr>
        <w:t>长年报告厅（136室）</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参会（训）人员入校信息通过报名链接采集并录入，会议（培训）当日持身份证刷证即可进入校园。</w:t>
      </w:r>
    </w:p>
    <w:p>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五</w:t>
      </w:r>
      <w:r>
        <w:rPr>
          <w:rFonts w:ascii="黑体" w:hAnsi="黑体" w:eastAsia="黑体"/>
          <w:sz w:val="32"/>
          <w:szCs w:val="32"/>
        </w:rPr>
        <w:t>、联系方式</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联系人：鲍桐颐；林泊安</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联系电话：</w:t>
      </w:r>
      <w:r>
        <w:rPr>
          <w:rFonts w:ascii="仿宋_GB2312" w:eastAsia="仿宋_GB2312"/>
          <w:sz w:val="32"/>
          <w:szCs w:val="32"/>
        </w:rPr>
        <w:t>66605080</w:t>
      </w:r>
      <w:r>
        <w:rPr>
          <w:rFonts w:hint="eastAsia" w:ascii="仿宋_GB2312" w:eastAsia="仿宋_GB2312"/>
          <w:sz w:val="32"/>
          <w:szCs w:val="32"/>
        </w:rPr>
        <w:t xml:space="preserve">；66605081 </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电子邮箱：</w:t>
      </w:r>
      <w:r>
        <w:rPr>
          <w:rFonts w:ascii="宋体" w:hAnsi="宋体" w:eastAsia="宋体"/>
          <w:sz w:val="32"/>
          <w:szCs w:val="32"/>
        </w:rPr>
        <w:t>cxds_bj@163.com</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       </w:t>
      </w:r>
    </w:p>
    <w:p>
      <w:pPr>
        <w:spacing w:line="560" w:lineRule="exact"/>
        <w:rPr>
          <w:rFonts w:hint="eastAsia" w:ascii="仿宋_GB2312" w:eastAsia="仿宋_GB2312"/>
          <w:sz w:val="32"/>
          <w:szCs w:val="32"/>
        </w:rPr>
      </w:pPr>
      <w:r>
        <w:rPr>
          <w:rFonts w:hint="eastAsia" w:ascii="仿宋_GB2312" w:eastAsia="仿宋_GB2312"/>
          <w:sz w:val="32"/>
          <w:szCs w:val="32"/>
        </w:rPr>
        <w:t>附件：北京赛区工作推进会暨第十一期北京高校创新创业</w:t>
      </w:r>
    </w:p>
    <w:p>
      <w:pPr>
        <w:spacing w:line="560" w:lineRule="exact"/>
        <w:ind w:firstLine="960" w:firstLineChars="300"/>
        <w:rPr>
          <w:rFonts w:hint="eastAsia" w:ascii="仿宋_GB2312" w:eastAsia="仿宋_GB2312"/>
          <w:sz w:val="32"/>
          <w:szCs w:val="32"/>
        </w:rPr>
      </w:pPr>
      <w:r>
        <w:rPr>
          <w:rFonts w:hint="eastAsia" w:ascii="仿宋_GB2312" w:eastAsia="仿宋_GB2312"/>
          <w:sz w:val="32"/>
          <w:szCs w:val="32"/>
        </w:rPr>
        <w:t>师资专项培训班报名回执表</w:t>
      </w:r>
    </w:p>
    <w:p>
      <w:pPr>
        <w:spacing w:line="560" w:lineRule="exact"/>
        <w:ind w:firstLine="960" w:firstLineChars="300"/>
        <w:rPr>
          <w:rFonts w:hint="eastAsia" w:ascii="仿宋_GB2312" w:eastAsia="仿宋_GB2312"/>
          <w:sz w:val="32"/>
          <w:szCs w:val="32"/>
        </w:rPr>
      </w:pPr>
    </w:p>
    <w:p>
      <w:pPr>
        <w:spacing w:line="560" w:lineRule="exact"/>
        <w:ind w:firstLine="960" w:firstLineChars="300"/>
        <w:rPr>
          <w:rFonts w:hint="eastAsia" w:ascii="仿宋_GB2312" w:eastAsia="仿宋_GB2312"/>
          <w:sz w:val="32"/>
          <w:szCs w:val="32"/>
        </w:rPr>
      </w:pPr>
    </w:p>
    <w:p>
      <w:pPr>
        <w:spacing w:line="560" w:lineRule="exact"/>
        <w:jc w:val="right"/>
        <w:rPr>
          <w:rFonts w:hint="eastAsia" w:ascii="仿宋_GB2312" w:eastAsia="仿宋_GB2312"/>
          <w:sz w:val="32"/>
          <w:szCs w:val="32"/>
        </w:rPr>
      </w:pPr>
      <w:r>
        <w:rPr>
          <w:rFonts w:hint="eastAsia" w:ascii="仿宋_GB2312" w:eastAsia="仿宋_GB2312"/>
          <w:sz w:val="32"/>
          <w:szCs w:val="32"/>
        </w:rPr>
        <w:t>北京市教育委员会高等教育处</w:t>
      </w:r>
    </w:p>
    <w:p>
      <w:pPr>
        <w:wordWrap w:val="0"/>
        <w:spacing w:line="560" w:lineRule="exact"/>
        <w:jc w:val="right"/>
        <w:rPr>
          <w:rFonts w:hint="eastAsia" w:ascii="仿宋_GB2312" w:eastAsia="仿宋_GB2312"/>
          <w:sz w:val="32"/>
          <w:szCs w:val="32"/>
        </w:rPr>
      </w:pPr>
      <w:r>
        <w:rPr>
          <w:rFonts w:hint="eastAsia" w:ascii="仿宋_GB2312" w:eastAsia="仿宋_GB2312"/>
          <w:sz w:val="32"/>
          <w:szCs w:val="32"/>
        </w:rPr>
        <w:t>北京高校创新创业人才培养指导中心</w:t>
      </w:r>
    </w:p>
    <w:p>
      <w:pPr>
        <w:wordWrap w:val="0"/>
        <w:spacing w:line="560" w:lineRule="exact"/>
        <w:jc w:val="right"/>
        <w:rPr>
          <w:rFonts w:hint="eastAsia" w:ascii="仿宋_GB2312" w:eastAsia="仿宋_GB2312"/>
          <w:sz w:val="32"/>
          <w:szCs w:val="32"/>
        </w:rPr>
      </w:pPr>
      <w:r>
        <w:rPr>
          <w:rFonts w:hint="eastAsia" w:ascii="仿宋_GB2312" w:eastAsia="仿宋_GB2312"/>
          <w:sz w:val="32"/>
          <w:szCs w:val="32"/>
        </w:rPr>
        <w:t xml:space="preserve"> </w:t>
      </w:r>
      <w:r>
        <w:rPr>
          <w:rFonts w:ascii="仿宋_GB2312" w:eastAsia="仿宋_GB2312"/>
          <w:sz w:val="32"/>
          <w:szCs w:val="32"/>
        </w:rPr>
        <w:t xml:space="preserve">  </w:t>
      </w:r>
      <w:r>
        <w:rPr>
          <w:rFonts w:hint="eastAsia" w:ascii="仿宋_GB2312" w:eastAsia="仿宋_GB2312"/>
          <w:sz w:val="32"/>
          <w:szCs w:val="32"/>
        </w:rPr>
        <w:t>2026年8月26日</w:t>
      </w:r>
      <w:r>
        <w:rPr>
          <w:rFonts w:ascii="仿宋_GB2312" w:eastAsia="仿宋_GB2312"/>
          <w:sz w:val="32"/>
          <w:szCs w:val="32"/>
        </w:rPr>
        <w:t xml:space="preserve">  </w:t>
      </w:r>
    </w:p>
    <w:p>
      <w:pPr>
        <w:rPr>
          <w:rFonts w:hint="eastAsia" w:ascii="仿宋_GB2312" w:eastAsia="仿宋_GB2312"/>
          <w:sz w:val="32"/>
          <w:szCs w:val="32"/>
        </w:rPr>
      </w:pPr>
      <w:r>
        <w:rPr>
          <w:rFonts w:ascii="仿宋_GB2312" w:eastAsia="仿宋_GB2312"/>
          <w:sz w:val="32"/>
          <w:szCs w:val="32"/>
        </w:rPr>
        <w:br w:type="page"/>
      </w:r>
    </w:p>
    <w:p>
      <w:pPr>
        <w:spacing w:line="560" w:lineRule="exact"/>
        <w:rPr>
          <w:rFonts w:hint="eastAsia" w:ascii="宋体" w:hAnsi="宋体" w:eastAsia="宋体" w:cs="宋体"/>
          <w:sz w:val="32"/>
          <w:szCs w:val="32"/>
        </w:rPr>
      </w:pPr>
      <w:r>
        <w:rPr>
          <w:rFonts w:hint="eastAsia" w:ascii="宋体" w:hAnsi="宋体" w:eastAsia="宋体" w:cs="宋体"/>
          <w:sz w:val="32"/>
          <w:szCs w:val="32"/>
        </w:rPr>
        <w:t>附件</w:t>
      </w:r>
    </w:p>
    <w:p>
      <w:pPr>
        <w:spacing w:line="560" w:lineRule="exact"/>
        <w:jc w:val="center"/>
        <w:rPr>
          <w:rFonts w:hint="eastAsia" w:ascii="方正小标宋简体" w:hAnsi="方正小标宋简体" w:eastAsia="方正小标宋简体" w:cs="方正小标宋简体"/>
          <w:sz w:val="32"/>
          <w:szCs w:val="32"/>
        </w:rPr>
      </w:pPr>
    </w:p>
    <w:p>
      <w:pPr>
        <w:spacing w:line="560" w:lineRule="exact"/>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北京赛区工作推进会暨第十一期北京高校创新创业师资专项培训班报名回执表</w:t>
      </w:r>
    </w:p>
    <w:p>
      <w:pPr>
        <w:spacing w:line="56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学校名称：</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（公章）                 </w:t>
      </w:r>
    </w:p>
    <w:tbl>
      <w:tblPr>
        <w:tblStyle w:val="5"/>
        <w:tblW w:w="85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5"/>
        <w:gridCol w:w="2411"/>
        <w:gridCol w:w="712"/>
        <w:gridCol w:w="1071"/>
        <w:gridCol w:w="1471"/>
        <w:gridCol w:w="1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355"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姓名</w:t>
            </w:r>
          </w:p>
        </w:tc>
        <w:tc>
          <w:tcPr>
            <w:tcW w:w="241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姓名拼音</w:t>
            </w:r>
          </w:p>
          <w:p>
            <w:pPr>
              <w:adjustRightIn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16"/>
                <w:szCs w:val="16"/>
              </w:rPr>
              <w:t>（示例：王建国 Wang Jianguo）</w:t>
            </w:r>
          </w:p>
        </w:tc>
        <w:tc>
          <w:tcPr>
            <w:tcW w:w="1783" w:type="dxa"/>
            <w:gridSpan w:val="2"/>
            <w:tcBorders>
              <w:top w:val="single" w:color="auto" w:sz="4" w:space="0"/>
              <w:left w:val="single" w:color="auto" w:sz="4" w:space="0"/>
              <w:bottom w:val="single" w:color="auto" w:sz="4" w:space="0"/>
              <w:right w:val="single" w:color="auto" w:sz="4" w:space="0"/>
            </w:tcBorders>
            <w:vAlign w:val="center"/>
          </w:tcPr>
          <w:p>
            <w:pPr>
              <w:adjustRightIn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部门</w:t>
            </w:r>
          </w:p>
        </w:tc>
        <w:tc>
          <w:tcPr>
            <w:tcW w:w="1471"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职务</w:t>
            </w:r>
          </w:p>
        </w:tc>
        <w:tc>
          <w:tcPr>
            <w:tcW w:w="1578"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355" w:type="dxa"/>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p>
        </w:tc>
        <w:tc>
          <w:tcPr>
            <w:tcW w:w="2411" w:type="dxa"/>
            <w:tcBorders>
              <w:top w:val="single" w:color="auto" w:sz="4" w:space="0"/>
              <w:left w:val="single" w:color="auto" w:sz="4" w:space="0"/>
              <w:bottom w:val="single" w:color="auto" w:sz="4" w:space="0"/>
              <w:right w:val="single" w:color="auto" w:sz="4" w:space="0"/>
            </w:tcBorders>
            <w:vAlign w:val="center"/>
          </w:tcPr>
          <w:p>
            <w:pPr>
              <w:adjustRightInd w:val="0"/>
              <w:spacing w:line="460" w:lineRule="exact"/>
              <w:ind w:left="60"/>
              <w:rPr>
                <w:rFonts w:hint="eastAsia" w:ascii="仿宋_GB2312" w:hAnsi="仿宋_GB2312" w:eastAsia="仿宋_GB2312" w:cs="仿宋_GB2312"/>
                <w:sz w:val="28"/>
                <w:szCs w:val="28"/>
              </w:rPr>
            </w:pPr>
          </w:p>
        </w:tc>
        <w:tc>
          <w:tcPr>
            <w:tcW w:w="1783" w:type="dxa"/>
            <w:gridSpan w:val="2"/>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p>
        </w:tc>
        <w:tc>
          <w:tcPr>
            <w:tcW w:w="1471" w:type="dxa"/>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p>
        </w:tc>
        <w:tc>
          <w:tcPr>
            <w:tcW w:w="1578" w:type="dxa"/>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355" w:type="dxa"/>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p>
        </w:tc>
        <w:tc>
          <w:tcPr>
            <w:tcW w:w="2411" w:type="dxa"/>
            <w:tcBorders>
              <w:top w:val="single" w:color="auto" w:sz="4" w:space="0"/>
              <w:left w:val="single" w:color="auto" w:sz="4" w:space="0"/>
              <w:bottom w:val="single" w:color="auto" w:sz="4" w:space="0"/>
              <w:right w:val="single" w:color="auto" w:sz="4" w:space="0"/>
            </w:tcBorders>
          </w:tcPr>
          <w:p>
            <w:pPr>
              <w:rPr>
                <w:rFonts w:hint="eastAsia" w:ascii="仿宋_GB2312" w:hAnsi="仿宋_GB2312" w:eastAsia="仿宋_GB2312" w:cs="仿宋_GB2312"/>
                <w:sz w:val="28"/>
                <w:szCs w:val="28"/>
              </w:rPr>
            </w:pPr>
          </w:p>
        </w:tc>
        <w:tc>
          <w:tcPr>
            <w:tcW w:w="1783" w:type="dxa"/>
            <w:gridSpan w:val="2"/>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p>
        </w:tc>
        <w:tc>
          <w:tcPr>
            <w:tcW w:w="1471" w:type="dxa"/>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p>
        </w:tc>
        <w:tc>
          <w:tcPr>
            <w:tcW w:w="1578" w:type="dxa"/>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355" w:type="dxa"/>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p>
        </w:tc>
        <w:tc>
          <w:tcPr>
            <w:tcW w:w="2411" w:type="dxa"/>
            <w:tcBorders>
              <w:top w:val="single" w:color="auto" w:sz="4" w:space="0"/>
              <w:left w:val="single" w:color="auto" w:sz="4" w:space="0"/>
              <w:bottom w:val="single" w:color="auto" w:sz="4" w:space="0"/>
              <w:right w:val="single" w:color="auto" w:sz="4" w:space="0"/>
            </w:tcBorders>
          </w:tcPr>
          <w:p>
            <w:pPr>
              <w:rPr>
                <w:rFonts w:hint="eastAsia" w:ascii="仿宋_GB2312" w:hAnsi="仿宋_GB2312" w:eastAsia="仿宋_GB2312" w:cs="仿宋_GB2312"/>
                <w:sz w:val="28"/>
                <w:szCs w:val="28"/>
              </w:rPr>
            </w:pPr>
          </w:p>
        </w:tc>
        <w:tc>
          <w:tcPr>
            <w:tcW w:w="1783" w:type="dxa"/>
            <w:gridSpan w:val="2"/>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p>
        </w:tc>
        <w:tc>
          <w:tcPr>
            <w:tcW w:w="1471" w:type="dxa"/>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p>
        </w:tc>
        <w:tc>
          <w:tcPr>
            <w:tcW w:w="1578" w:type="dxa"/>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355" w:type="dxa"/>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p>
        </w:tc>
        <w:tc>
          <w:tcPr>
            <w:tcW w:w="2411" w:type="dxa"/>
            <w:tcBorders>
              <w:top w:val="single" w:color="auto" w:sz="4" w:space="0"/>
              <w:left w:val="single" w:color="auto" w:sz="4" w:space="0"/>
              <w:bottom w:val="single" w:color="auto" w:sz="4" w:space="0"/>
              <w:right w:val="single" w:color="auto" w:sz="4" w:space="0"/>
            </w:tcBorders>
          </w:tcPr>
          <w:p>
            <w:pPr>
              <w:rPr>
                <w:rFonts w:hint="eastAsia" w:ascii="仿宋_GB2312" w:hAnsi="仿宋_GB2312" w:eastAsia="仿宋_GB2312" w:cs="仿宋_GB2312"/>
                <w:sz w:val="28"/>
                <w:szCs w:val="28"/>
              </w:rPr>
            </w:pPr>
          </w:p>
        </w:tc>
        <w:tc>
          <w:tcPr>
            <w:tcW w:w="1783" w:type="dxa"/>
            <w:gridSpan w:val="2"/>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p>
        </w:tc>
        <w:tc>
          <w:tcPr>
            <w:tcW w:w="1471" w:type="dxa"/>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p>
        </w:tc>
        <w:tc>
          <w:tcPr>
            <w:tcW w:w="1578" w:type="dxa"/>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0" w:hRule="atLeast"/>
        </w:trPr>
        <w:tc>
          <w:tcPr>
            <w:tcW w:w="8598" w:type="dxa"/>
            <w:gridSpan w:val="6"/>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本表格不可增加行，每校最多报名4人。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355" w:type="dxa"/>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联系人</w:t>
            </w:r>
          </w:p>
        </w:tc>
        <w:tc>
          <w:tcPr>
            <w:tcW w:w="3123" w:type="dxa"/>
            <w:gridSpan w:val="2"/>
            <w:tcBorders>
              <w:top w:val="single" w:color="auto" w:sz="4" w:space="0"/>
              <w:left w:val="single" w:color="auto" w:sz="4" w:space="0"/>
              <w:bottom w:val="single" w:color="auto" w:sz="4" w:space="0"/>
              <w:right w:val="single" w:color="auto" w:sz="4" w:space="0"/>
            </w:tcBorders>
            <w:vAlign w:val="center"/>
          </w:tcPr>
          <w:p>
            <w:pPr>
              <w:adjustRightInd w:val="0"/>
              <w:spacing w:line="460" w:lineRule="exact"/>
              <w:ind w:left="60"/>
              <w:jc w:val="center"/>
              <w:rPr>
                <w:rFonts w:hint="eastAsia" w:ascii="仿宋_GB2312" w:hAnsi="仿宋_GB2312" w:eastAsia="仿宋_GB2312" w:cs="仿宋_GB2312"/>
                <w:sz w:val="28"/>
                <w:szCs w:val="28"/>
              </w:rPr>
            </w:pPr>
          </w:p>
        </w:tc>
        <w:tc>
          <w:tcPr>
            <w:tcW w:w="1071" w:type="dxa"/>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手机：</w:t>
            </w:r>
          </w:p>
        </w:tc>
        <w:tc>
          <w:tcPr>
            <w:tcW w:w="3049" w:type="dxa"/>
            <w:gridSpan w:val="2"/>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355" w:type="dxa"/>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通讯地址</w:t>
            </w:r>
          </w:p>
        </w:tc>
        <w:tc>
          <w:tcPr>
            <w:tcW w:w="7243" w:type="dxa"/>
            <w:gridSpan w:val="5"/>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355" w:type="dxa"/>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E-mail</w:t>
            </w:r>
          </w:p>
        </w:tc>
        <w:tc>
          <w:tcPr>
            <w:tcW w:w="7243" w:type="dxa"/>
            <w:gridSpan w:val="5"/>
            <w:tcBorders>
              <w:top w:val="single" w:color="auto" w:sz="4" w:space="0"/>
              <w:left w:val="single" w:color="auto" w:sz="4" w:space="0"/>
              <w:bottom w:val="single" w:color="auto" w:sz="4" w:space="0"/>
              <w:right w:val="single" w:color="auto" w:sz="4" w:space="0"/>
            </w:tcBorders>
            <w:vAlign w:val="center"/>
          </w:tcPr>
          <w:p>
            <w:pPr>
              <w:adjustRightInd w:val="0"/>
              <w:spacing w:line="460" w:lineRule="exact"/>
              <w:jc w:val="center"/>
              <w:rPr>
                <w:rFonts w:hint="eastAsia" w:ascii="仿宋_GB2312" w:hAnsi="仿宋_GB2312" w:eastAsia="仿宋_GB2312" w:cs="仿宋_GB2312"/>
                <w:sz w:val="28"/>
                <w:szCs w:val="28"/>
              </w:rPr>
            </w:pPr>
          </w:p>
        </w:tc>
      </w:tr>
    </w:tbl>
    <w:p>
      <w:pPr>
        <w:tabs>
          <w:tab w:val="left" w:pos="567"/>
        </w:tabs>
        <w:spacing w:line="600" w:lineRule="exact"/>
        <w:ind w:left="6" w:hanging="6" w:hangingChars="2"/>
        <w:rPr>
          <w:rFonts w:hint="eastAsia" w:ascii="仿宋" w:hAnsi="仿宋" w:eastAsia="仿宋" w:cs="仿宋_GB2312"/>
          <w:sz w:val="32"/>
          <w:szCs w:val="32"/>
        </w:rPr>
      </w:pPr>
    </w:p>
    <w:p>
      <w:pPr>
        <w:spacing w:line="560" w:lineRule="exact"/>
        <w:rPr>
          <w:rFonts w:hint="eastAsia" w:ascii="仿宋_GB2312" w:eastAsia="仿宋_GB2312"/>
          <w:sz w:val="32"/>
          <w:szCs w:val="32"/>
        </w:rPr>
      </w:pPr>
    </w:p>
    <w:p>
      <w:pPr>
        <w:wordWrap w:val="0"/>
        <w:spacing w:line="560" w:lineRule="exact"/>
        <w:jc w:val="right"/>
        <w:rPr>
          <w:rFonts w:hint="eastAsia" w:ascii="仿宋_GB2312" w:eastAsia="仿宋_GB2312"/>
          <w:sz w:val="32"/>
          <w:szCs w:val="32"/>
        </w:rPr>
      </w:pPr>
      <w:r>
        <w:rPr>
          <w:rFonts w:hint="eastAsia" w:ascii="仿宋_GB2312" w:eastAsia="仿宋_GB2312"/>
          <w:sz w:val="32"/>
          <w:szCs w:val="3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RhNzY5MWMwNjY0YmMzYjlkNTA1NjdmOGJmZDA1MDMifQ=="/>
  </w:docVars>
  <w:rsids>
    <w:rsidRoot w:val="00550738"/>
    <w:rsid w:val="0017060A"/>
    <w:rsid w:val="00212CF4"/>
    <w:rsid w:val="00227AED"/>
    <w:rsid w:val="00236CEA"/>
    <w:rsid w:val="00237268"/>
    <w:rsid w:val="00265457"/>
    <w:rsid w:val="002740A6"/>
    <w:rsid w:val="002E1C58"/>
    <w:rsid w:val="0039420C"/>
    <w:rsid w:val="00402A1E"/>
    <w:rsid w:val="004749E2"/>
    <w:rsid w:val="004E2129"/>
    <w:rsid w:val="00550738"/>
    <w:rsid w:val="005B63D5"/>
    <w:rsid w:val="005F57E0"/>
    <w:rsid w:val="0067796F"/>
    <w:rsid w:val="00712FFC"/>
    <w:rsid w:val="007135EF"/>
    <w:rsid w:val="007416E6"/>
    <w:rsid w:val="0076354F"/>
    <w:rsid w:val="007848AA"/>
    <w:rsid w:val="007F08A4"/>
    <w:rsid w:val="00A35EE3"/>
    <w:rsid w:val="00A861B1"/>
    <w:rsid w:val="00BB503B"/>
    <w:rsid w:val="00C709E6"/>
    <w:rsid w:val="00CC191A"/>
    <w:rsid w:val="00D11D36"/>
    <w:rsid w:val="00DB5771"/>
    <w:rsid w:val="00F31832"/>
    <w:rsid w:val="00FD737D"/>
    <w:rsid w:val="07255A0B"/>
    <w:rsid w:val="16D23D7F"/>
    <w:rsid w:val="21742A4C"/>
    <w:rsid w:val="45A72B76"/>
    <w:rsid w:val="5A7B3DB9"/>
    <w:rsid w:val="7273118B"/>
    <w:rsid w:val="7BB438A8"/>
    <w:rsid w:val="7CBC71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9"/>
    <w:autoRedefine/>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uiPriority w:val="99"/>
    <w:pPr>
      <w:tabs>
        <w:tab w:val="center" w:pos="4153"/>
        <w:tab w:val="right" w:pos="8306"/>
      </w:tabs>
      <w:snapToGrid w:val="0"/>
      <w:jc w:val="center"/>
    </w:pPr>
    <w:rPr>
      <w:sz w:val="18"/>
      <w:szCs w:val="18"/>
    </w:rPr>
  </w:style>
  <w:style w:type="paragraph" w:styleId="4">
    <w:name w:val="Normal (Web)"/>
    <w:basedOn w:val="1"/>
    <w:autoRedefine/>
    <w:semiHidden/>
    <w:unhideWhenUsed/>
    <w:qFormat/>
    <w:uiPriority w:val="99"/>
    <w:pPr>
      <w:spacing w:beforeAutospacing="1" w:afterAutospacing="1"/>
      <w:jc w:val="left"/>
    </w:pPr>
    <w:rPr>
      <w:rFonts w:cs="Times New Roman"/>
      <w:kern w:val="0"/>
      <w:sz w:val="24"/>
    </w:rPr>
  </w:style>
  <w:style w:type="character" w:styleId="7">
    <w:name w:val="Hyperlink"/>
    <w:basedOn w:val="6"/>
    <w:autoRedefine/>
    <w:unhideWhenUsed/>
    <w:qFormat/>
    <w:uiPriority w:val="99"/>
    <w:rPr>
      <w:color w:val="0563C1" w:themeColor="hyperlink"/>
      <w:u w:val="single"/>
      <w14:textFill>
        <w14:solidFill>
          <w14:schemeClr w14:val="hlink"/>
        </w14:solidFill>
      </w14:textFill>
    </w:rPr>
  </w:style>
  <w:style w:type="character" w:customStyle="1" w:styleId="8">
    <w:name w:val="页眉 字符"/>
    <w:basedOn w:val="6"/>
    <w:link w:val="3"/>
    <w:autoRedefine/>
    <w:qFormat/>
    <w:uiPriority w:val="99"/>
    <w:rPr>
      <w:rFonts w:asciiTheme="minorHAnsi" w:hAnsiTheme="minorHAnsi" w:eastAsiaTheme="minorEastAsia" w:cstheme="minorBidi"/>
      <w:kern w:val="2"/>
      <w:sz w:val="18"/>
      <w:szCs w:val="18"/>
    </w:rPr>
  </w:style>
  <w:style w:type="character" w:customStyle="1" w:styleId="9">
    <w:name w:val="页脚 字符"/>
    <w:basedOn w:val="6"/>
    <w:link w:val="2"/>
    <w:uiPriority w:val="99"/>
    <w:rPr>
      <w:rFonts w:asciiTheme="minorHAnsi" w:hAnsiTheme="minorHAnsi" w:eastAsiaTheme="minorEastAsia" w:cstheme="minorBidi"/>
      <w:kern w:val="2"/>
      <w:sz w:val="18"/>
      <w:szCs w:val="18"/>
    </w:rPr>
  </w:style>
  <w:style w:type="paragraph" w:customStyle="1" w:styleId="10">
    <w:name w:val="Revision"/>
    <w:autoRedefine/>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4</Pages>
  <Words>192</Words>
  <Characters>1101</Characters>
  <Lines>9</Lines>
  <Paragraphs>2</Paragraphs>
  <TotalTime>5</TotalTime>
  <ScaleCrop>false</ScaleCrop>
  <LinksUpToDate>false</LinksUpToDate>
  <CharactersWithSpaces>1291</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2025-05-09T03:57:00Z</dcterms:created>
  <dc:creator>Windows 用户</dc:creator>
  <cp:lastModifiedBy>鲍桐颐</cp:lastModifiedBy>
  <cp:lastPrinted>2025-05-09T09:04:00Z</cp:lastPrinted>
  <dcterms:modified xsi:type="dcterms:W3CDTF">2026-08-27T02:31:36Z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eyJoZGlkIjoiNjFmNGJlNDkxOTE0ZTk1MWQ4MmRiNGQ2YWQzZDYwYjIiLCJ1c2VySWQiOiIxNzY5MzA4MzYzIn0=</vt:lpwstr>
  </property>
  <property fmtid="{D5CDD505-2E9C-101B-9397-08002B2CF9AE}" pid="3" name="KSOProductBuildVer">
    <vt:lpwstr>2052-12.1.0.16388</vt:lpwstr>
  </property>
  <property fmtid="{D5CDD505-2E9C-101B-9397-08002B2CF9AE}" pid="4" name="ICV">
    <vt:lpwstr>C9B9CD9F9ED64119933F5C32ABE2CF17_13</vt:lpwstr>
  </property>
</Properties>
</file>